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onsolas" w:cs="Consolas" w:eastAsia="Consolas" w:hAnsi="Consolas"/>
          <w:color w:val="8A6D1F"/>
          <w:spacing w:val="60"/>
          <w:sz w:val="16"/>
          <w:szCs w:val="16"/>
        </w:rPr>
        <w:t xml:space="preserve">CLEARPATH ADVISORY</w:t>
      </w:r>
    </w:p>
    <w:p>
      <w:pPr>
        <w:spacing w:after="100"/>
      </w:pPr>
      <w:r>
        <w:rPr>
          <w:rFonts w:ascii="Georgia" w:cs="Georgia" w:eastAsia="Georgia" w:hAnsi="Georgia"/>
          <w:color w:val="1B2A4A"/>
          <w:sz w:val="40"/>
          <w:szCs w:val="40"/>
        </w:rPr>
        <w:t xml:space="preserve">SAR narrative template</w:t>
      </w:r>
    </w:p>
    <w:p>
      <w:pPr>
        <w:spacing w:after="200"/>
      </w:pPr>
      <w:r>
        <w:rPr>
          <w:rFonts w:ascii="Calibri" w:cs="Calibri" w:eastAsia="Calibri" w:hAnsi="Calibri"/>
          <w:color w:val="5A6478"/>
          <w:sz w:val="21"/>
          <w:szCs w:val="21"/>
        </w:rPr>
        <w:t xml:space="preserve">A five-part structure for a suspicious activity report narrative. Write for a reader who has no access to your case management system, your alert, your customer file or your colleagues. Everything they will ever know about this case is in the box you are typing into.</w:t>
      </w:r>
    </w:p>
    <w:p>
      <w:pPr>
        <w:pBdr>
          <w:bottom w:val="single" w:color="DCDFE6" w:sz="6" w:space="6"/>
        </w:pBdr>
        <w:spacing w:after="240"/>
      </w:pPr>
      <w:r>
        <w:t xml:space="preserve"/>
      </w:r>
    </w:p>
    <w:p>
      <w:pPr>
        <w:pStyle w:val="Heading2"/>
        <w:spacing w:after="120" w:before="320"/>
      </w:pPr>
      <w:r>
        <w:rPr>
          <w:rFonts w:ascii="Georgia" w:cs="Georgia" w:eastAsia="Georgia" w:hAnsi="Georgia"/>
          <w:b/>
          <w:bCs/>
          <w:color w:val="1B2A4A"/>
          <w:sz w:val="26"/>
          <w:szCs w:val="26"/>
        </w:rPr>
        <w:t xml:space="preserve">1. Who</w:t>
      </w:r>
    </w:p>
    <w:p>
      <w:pPr>
        <w:spacing w:after="100"/>
        <w:ind w:left="260"/>
      </w:pPr>
      <w:r>
        <w:rPr>
          <w:rFonts w:ascii="Calibri" w:cs="Calibri" w:eastAsia="Calibri" w:hAnsi="Calibri"/>
          <w:i/>
          <w:iCs/>
          <w:color w:val="5A6478"/>
          <w:sz w:val="20"/>
          <w:szCs w:val="20"/>
        </w:rPr>
        <w:t xml:space="preserve">Full legal name, company number or date of birth, address, account number and sort code, date the relationship opened, and the customer's own declared business or source of funds.</w:t>
      </w:r>
    </w:p>
    <w:p>
      <w:pPr>
        <w:spacing w:after="100"/>
        <w:ind w:left="260"/>
      </w:pPr>
      <w:r>
        <w:rPr>
          <w:rFonts w:ascii="Calibri" w:cs="Calibri" w:eastAsia="Calibri" w:hAnsi="Calibri"/>
          <w:i/>
          <w:iCs/>
          <w:color w:val="5A6478"/>
          <w:sz w:val="20"/>
          <w:szCs w:val="20"/>
        </w:rPr>
        <w:t xml:space="preserve">The declared activity is the yardstick for everything that follows. Most reports turn on a gap between what was declared and what was observed.</w:t>
      </w:r>
    </w:p>
    <w:p>
      <w:pPr>
        <w:pBdr>
          <w:bottom w:val="dotted" w:color="AAB0BE" w:sz="6" w:space="4"/>
        </w:pBdr>
        <w:spacing w:after="260"/>
      </w:pPr>
      <w:r>
        <w:rPr>
          <w:sz w:val="21"/>
          <w:szCs w:val="21"/>
        </w:rPr>
        <w:t xml:space="preserve"/>
      </w:r>
    </w:p>
    <w:p>
      <w:pPr>
        <w:pStyle w:val="Heading2"/>
        <w:spacing w:after="120" w:before="320"/>
      </w:pPr>
      <w:r>
        <w:rPr>
          <w:rFonts w:ascii="Georgia" w:cs="Georgia" w:eastAsia="Georgia" w:hAnsi="Georgia"/>
          <w:b/>
          <w:bCs/>
          <w:color w:val="1B2A4A"/>
          <w:sz w:val="26"/>
          <w:szCs w:val="26"/>
        </w:rPr>
        <w:t xml:space="preserve">2. What</w:t>
      </w:r>
    </w:p>
    <w:p>
      <w:pPr>
        <w:spacing w:after="100"/>
        <w:ind w:left="260"/>
      </w:pPr>
      <w:r>
        <w:rPr>
          <w:rFonts w:ascii="Calibri" w:cs="Calibri" w:eastAsia="Calibri" w:hAnsi="Calibri"/>
          <w:i/>
          <w:iCs/>
          <w:color w:val="5A6478"/>
          <w:sz w:val="20"/>
          <w:szCs w:val="20"/>
        </w:rPr>
        <w:t xml:space="preserve">The activity, in numbers. Counts, totals, ranges, averages, and the direction of travel.</w:t>
      </w:r>
    </w:p>
    <w:p>
      <w:pPr>
        <w:spacing w:after="100"/>
        <w:ind w:left="260"/>
      </w:pPr>
      <w:r>
        <w:rPr>
          <w:rFonts w:ascii="Calibri" w:cs="Calibri" w:eastAsia="Calibri" w:hAnsi="Calibri"/>
          <w:i/>
          <w:iCs/>
          <w:color w:val="5A6478"/>
          <w:sz w:val="20"/>
          <w:szCs w:val="20"/>
        </w:rPr>
        <w:t xml:space="preserve">Not “significant cash deposits” but “138 cash deposits totalling GBP 1,214,300, individual amounts between GBP 7,950 and GBP 9,700”. Every adjective should be replaceable by a number.</w:t>
      </w:r>
    </w:p>
    <w:p>
      <w:pPr>
        <w:pBdr>
          <w:bottom w:val="dotted" w:color="AAB0BE" w:sz="6" w:space="4"/>
        </w:pBdr>
        <w:spacing w:after="260"/>
      </w:pPr>
      <w:r>
        <w:rPr>
          <w:sz w:val="21"/>
          <w:szCs w:val="21"/>
        </w:rPr>
        <w:t xml:space="preserve"/>
      </w:r>
    </w:p>
    <w:p>
      <w:pPr>
        <w:pStyle w:val="Heading2"/>
        <w:spacing w:after="120" w:before="320"/>
      </w:pPr>
      <w:r>
        <w:rPr>
          <w:rFonts w:ascii="Georgia" w:cs="Georgia" w:eastAsia="Georgia" w:hAnsi="Georgia"/>
          <w:b/>
          <w:bCs/>
          <w:color w:val="1B2A4A"/>
          <w:sz w:val="26"/>
          <w:szCs w:val="26"/>
        </w:rPr>
        <w:t xml:space="preserve">3. When</w:t>
      </w:r>
    </w:p>
    <w:p>
      <w:pPr>
        <w:spacing w:after="100"/>
        <w:ind w:left="260"/>
      </w:pPr>
      <w:r>
        <w:rPr>
          <w:rFonts w:ascii="Calibri" w:cs="Calibri" w:eastAsia="Calibri" w:hAnsi="Calibri"/>
          <w:i/>
          <w:iCs/>
          <w:color w:val="5A6478"/>
          <w:sz w:val="20"/>
          <w:szCs w:val="20"/>
        </w:rPr>
        <w:t xml:space="preserve">A defined period with both ends, then any pattern inside it: days of the week, times of day, the lag between credit and onward payment.</w:t>
      </w:r>
    </w:p>
    <w:p>
      <w:pPr>
        <w:spacing w:after="100"/>
        <w:ind w:left="260"/>
      </w:pPr>
      <w:r>
        <w:rPr>
          <w:rFonts w:ascii="Calibri" w:cs="Calibri" w:eastAsia="Calibri" w:hAnsi="Calibri"/>
          <w:i/>
          <w:iCs/>
          <w:color w:val="5A6478"/>
          <w:sz w:val="20"/>
          <w:szCs w:val="20"/>
        </w:rPr>
        <w:t xml:space="preserve">A reader who can see timing can see coordination. Note any dates where activity overlapped across locations.</w:t>
      </w:r>
    </w:p>
    <w:p>
      <w:pPr>
        <w:pBdr>
          <w:bottom w:val="dotted" w:color="AAB0BE" w:sz="6" w:space="4"/>
        </w:pBdr>
        <w:spacing w:after="260"/>
      </w:pPr>
      <w:r>
        <w:rPr>
          <w:sz w:val="21"/>
          <w:szCs w:val="21"/>
        </w:rPr>
        <w:t xml:space="preserve"/>
      </w:r>
    </w:p>
    <w:p>
      <w:pPr>
        <w:pStyle w:val="Heading2"/>
        <w:spacing w:after="120" w:before="320"/>
      </w:pPr>
      <w:r>
        <w:rPr>
          <w:rFonts w:ascii="Georgia" w:cs="Georgia" w:eastAsia="Georgia" w:hAnsi="Georgia"/>
          <w:b/>
          <w:bCs/>
          <w:color w:val="1B2A4A"/>
          <w:sz w:val="26"/>
          <w:szCs w:val="26"/>
        </w:rPr>
        <w:t xml:space="preserve">4. Where</w:t>
      </w:r>
    </w:p>
    <w:p>
      <w:pPr>
        <w:spacing w:after="100"/>
        <w:ind w:left="260"/>
      </w:pPr>
      <w:r>
        <w:rPr>
          <w:rFonts w:ascii="Calibri" w:cs="Calibri" w:eastAsia="Calibri" w:hAnsi="Calibri"/>
          <w:i/>
          <w:iCs/>
          <w:color w:val="5A6478"/>
          <w:sz w:val="20"/>
          <w:szCs w:val="20"/>
        </w:rPr>
        <w:t xml:space="preserve">Branches, ATMs, counties, counterparties, jurisdictions. Distances from the trading or residential address where relevant.</w:t>
      </w:r>
    </w:p>
    <w:p>
      <w:pPr>
        <w:spacing w:after="100"/>
        <w:ind w:left="260"/>
      </w:pPr>
      <w:r>
        <w:rPr>
          <w:rFonts w:ascii="Calibri" w:cs="Calibri" w:eastAsia="Calibri" w:hAnsi="Calibri"/>
          <w:i/>
          <w:iCs/>
          <w:color w:val="5A6478"/>
          <w:sz w:val="20"/>
          <w:szCs w:val="20"/>
        </w:rPr>
        <w:t xml:space="preserve">Geography is often the most useful thing in a cash case, and the thing most often left out.</w:t>
      </w:r>
    </w:p>
    <w:p>
      <w:pPr>
        <w:pBdr>
          <w:bottom w:val="dotted" w:color="AAB0BE" w:sz="6" w:space="4"/>
        </w:pBdr>
        <w:spacing w:after="260"/>
      </w:pPr>
      <w:r>
        <w:rPr>
          <w:sz w:val="21"/>
          <w:szCs w:val="21"/>
        </w:rPr>
        <w:t xml:space="preserve"/>
      </w:r>
    </w:p>
    <w:p>
      <w:pPr>
        <w:pStyle w:val="Heading2"/>
        <w:spacing w:after="120" w:before="320"/>
      </w:pPr>
      <w:r>
        <w:rPr>
          <w:rFonts w:ascii="Georgia" w:cs="Georgia" w:eastAsia="Georgia" w:hAnsi="Georgia"/>
          <w:b/>
          <w:bCs/>
          <w:color w:val="1B2A4A"/>
          <w:sz w:val="26"/>
          <w:szCs w:val="26"/>
        </w:rPr>
        <w:t xml:space="preserve">5. Why</w:t>
      </w:r>
    </w:p>
    <w:p>
      <w:pPr>
        <w:spacing w:after="100"/>
        <w:ind w:left="260"/>
      </w:pPr>
      <w:r>
        <w:rPr>
          <w:rFonts w:ascii="Calibri" w:cs="Calibri" w:eastAsia="Calibri" w:hAnsi="Calibri"/>
          <w:i/>
          <w:iCs/>
          <w:color w:val="5A6478"/>
          <w:sz w:val="20"/>
          <w:szCs w:val="20"/>
        </w:rPr>
        <w:t xml:space="preserve">Why this is on someone's desk. Not a verdict — the specific mismatches, and the features of the pattern the account profile does not account for.</w:t>
      </w:r>
    </w:p>
    <w:p>
      <w:pPr>
        <w:spacing w:after="100"/>
        <w:ind w:left="260"/>
      </w:pPr>
      <w:r>
        <w:rPr>
          <w:rFonts w:ascii="Calibri" w:cs="Calibri" w:eastAsia="Calibri" w:hAnsi="Calibri"/>
          <w:i/>
          <w:iCs/>
          <w:color w:val="5A6478"/>
          <w:sz w:val="20"/>
          <w:szCs w:val="20"/>
        </w:rPr>
        <w:t xml:space="preserve">Write these as separate observations rather than a conclusion. Any one alone would be thin; together they are a case.</w:t>
      </w:r>
    </w:p>
    <w:p>
      <w:pPr>
        <w:pBdr>
          <w:bottom w:val="dotted" w:color="AAB0BE" w:sz="6" w:space="4"/>
        </w:pBdr>
        <w:spacing w:after="260"/>
      </w:pPr>
      <w:r>
        <w:rPr>
          <w:sz w:val="21"/>
          <w:szCs w:val="21"/>
        </w:rPr>
        <w:t xml:space="preserve"/>
      </w:r>
    </w:p>
    <w:p>
      <w:pPr>
        <w:pBdr>
          <w:bottom w:val="single" w:color="DCDFE6" w:sz="6" w:space="6"/>
        </w:pBdr>
        <w:spacing w:after="240"/>
      </w:pPr>
      <w:r>
        <w:t xml:space="preserve"/>
      </w:r>
    </w:p>
    <w:p>
      <w:pPr>
        <w:pStyle w:val="Heading2"/>
        <w:spacing w:after="120" w:before="320"/>
      </w:pPr>
      <w:r>
        <w:rPr>
          <w:rFonts w:ascii="Georgia" w:cs="Georgia" w:eastAsia="Georgia" w:hAnsi="Georgia"/>
          <w:b/>
          <w:bCs/>
          <w:color w:val="1B2A4A"/>
          <w:sz w:val="26"/>
          <w:szCs w:val="26"/>
        </w:rPr>
        <w:t xml:space="preserve">Tail: what we did</w:t>
      </w:r>
    </w:p>
    <w:p>
      <w:pPr>
        <w:spacing w:after="100"/>
        <w:ind w:left="260"/>
      </w:pPr>
      <w:r>
        <w:rPr>
          <w:rFonts w:ascii="Calibri" w:cs="Calibri" w:eastAsia="Calibri" w:hAnsi="Calibri"/>
          <w:i/>
          <w:iCs/>
          <w:color w:val="5A6478"/>
          <w:sz w:val="20"/>
          <w:szCs w:val="20"/>
        </w:rPr>
        <w:t xml:space="preserve">What was asked and when, what the customer said, what documents were requested and whether they were provided, whether the account is still open, whether any restriction has been applied, whether the customer has been notified, what evidence is held, and a named contact with a direct line.</w:t>
      </w:r>
    </w:p>
    <w:p>
      <w:pPr>
        <w:spacing w:after="100"/>
        <w:ind w:left="260"/>
      </w:pPr>
      <w:r>
        <w:rPr>
          <w:rFonts w:ascii="Calibri" w:cs="Calibri" w:eastAsia="Calibri" w:hAnsi="Calibri"/>
          <w:i/>
          <w:iCs/>
          <w:color w:val="5A6478"/>
          <w:sz w:val="20"/>
          <w:szCs w:val="20"/>
        </w:rPr>
        <w:t xml:space="preserve">This section protects both the report and the reader. It tells the receiving unit how quickly to act.</w:t>
      </w:r>
    </w:p>
    <w:p>
      <w:pPr>
        <w:pBdr>
          <w:bottom w:val="dotted" w:color="AAB0BE" w:sz="6" w:space="4"/>
        </w:pBdr>
        <w:spacing w:after="260"/>
      </w:pPr>
      <w:r>
        <w:rPr>
          <w:sz w:val="21"/>
          <w:szCs w:val="21"/>
        </w:rPr>
        <w:t xml:space="preserve"/>
      </w:r>
    </w:p>
    <w:p>
      <w:pPr>
        <w:pBdr>
          <w:bottom w:val="single" w:color="DCDFE6" w:sz="6" w:space="6"/>
        </w:pBdr>
        <w:spacing w:after="240"/>
      </w:pPr>
      <w:r>
        <w:t xml:space="preserve"/>
      </w:r>
    </w:p>
    <w:p>
      <w:pPr>
        <w:pStyle w:val="Heading2"/>
        <w:spacing w:after="120" w:before="320"/>
      </w:pPr>
      <w:r>
        <w:rPr>
          <w:rFonts w:ascii="Georgia" w:cs="Georgia" w:eastAsia="Georgia" w:hAnsi="Georgia"/>
          <w:b/>
          <w:bCs/>
          <w:color w:val="1B2A4A"/>
          <w:sz w:val="26"/>
          <w:szCs w:val="26"/>
        </w:rPr>
        <w:t xml:space="preserve">Before you file</w:t>
      </w:r>
    </w:p>
    <w:p>
      <w:pPr>
        <w:spacing w:after="100"/>
      </w:pPr>
      <w:r>
        <w:rPr>
          <w:rFonts w:ascii="Calibri" w:cs="Calibri" w:eastAsia="Calibri" w:hAnsi="Calibri"/>
          <w:color w:val="1F2430"/>
          <w:sz w:val="21"/>
          <w:szCs w:val="21"/>
        </w:rPr>
        <w:t xml:space="preserve">Read it aloud. You will hear the vague months, the adjectives without numbers, and the sentence where you stopped being specific.</w:t>
      </w:r>
    </w:p>
    <w:p>
      <w:pPr>
        <w:spacing w:after="200"/>
      </w:pPr>
      <w:r>
        <w:rPr>
          <w:rFonts w:ascii="Calibri" w:cs="Calibri" w:eastAsia="Calibri" w:hAnsi="Calibri"/>
          <w:color w:val="1F2430"/>
          <w:sz w:val="21"/>
          <w:szCs w:val="21"/>
        </w:rPr>
        <w:t xml:space="preserve">Then hand it to a colleague who has never seen the case and ask them to tell you back what happened, when, and why you are worried. If they can, the report will travel.</w:t>
      </w:r>
    </w:p>
    <w:p>
      <w:pPr>
        <w:pStyle w:val="Heading2"/>
        <w:spacing w:after="120" w:before="320"/>
      </w:pPr>
      <w:r>
        <w:rPr>
          <w:rFonts w:ascii="Georgia" w:cs="Georgia" w:eastAsia="Georgia" w:hAnsi="Georgia"/>
          <w:b/>
          <w:bCs/>
          <w:color w:val="1B2A4A"/>
          <w:sz w:val="26"/>
          <w:szCs w:val="26"/>
        </w:rPr>
        <w:t xml:space="preserve">Keep out</w:t>
      </w:r>
    </w:p>
    <w:p>
      <w:pPr>
        <w:spacing w:after="240"/>
      </w:pPr>
      <w:r>
        <w:rPr>
          <w:rFonts w:ascii="Calibri" w:cs="Calibri" w:eastAsia="Calibri" w:hAnsi="Calibri"/>
          <w:color w:val="1F2430"/>
          <w:sz w:val="21"/>
          <w:szCs w:val="21"/>
        </w:rPr>
        <w:t xml:space="preserve">Speculation without a stated reason. Legal conclusions — do not write that money was laundered or that an offence was committed. Internal jargon: model names, queue codes, rule identifiers, risk-band labels. The alert text itself, copied across. Hedging stacked on a thin observation.</w:t>
      </w:r>
    </w:p>
    <w:p>
      <w:pPr>
        <w:pBdr>
          <w:bottom w:val="single" w:color="DCDFE6" w:sz="6" w:space="6"/>
        </w:pBdr>
        <w:spacing w:after="240"/>
      </w:pPr>
      <w:r>
        <w:t xml:space="preserve"/>
      </w:r>
    </w:p>
    <w:p>
      <w:pPr>
        <w:spacing w:before="120"/>
      </w:pPr>
      <w:r>
        <w:rPr>
          <w:rFonts w:ascii="Calibri" w:cs="Calibri" w:eastAsia="Calibri" w:hAnsi="Calibri"/>
          <w:i/>
          <w:iCs/>
          <w:color w:val="5A6478"/>
          <w:sz w:val="18"/>
          <w:szCs w:val="18"/>
        </w:rPr>
        <w:t xml:space="preserve">Free to use and adapt. The worked example this template is drawn from is at casepilot.app/blog</w:t>
      </w:r>
    </w:p>
    <w:p>
      <w:r>
        <w:rPr>
          <w:rFonts w:ascii="Calibri" w:cs="Calibri" w:eastAsia="Calibri" w:hAnsi="Calibri"/>
          <w:color w:val="5A6478"/>
          <w:sz w:val="16"/>
          <w:szCs w:val="16"/>
        </w:rPr>
        <w:t xml:space="preserve">General guidance drawn from practitioner experience. Not legal advice, and not a substitute for your own institution's policies or your jurisdiction's reporting requirements.</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narrative template</dc:title>
  <dc:creator>ClearPath Advisory</dc:creator>
  <dc:description>A five-part structure for writing a suspicious activity report narrative.</dc:description>
  <cp:lastModifiedBy>Un-named</cp:lastModifiedBy>
  <cp:revision>1</cp:revision>
  <dcterms:created xsi:type="dcterms:W3CDTF">2026-07-30T12:07:30.207Z</dcterms:created>
  <dcterms:modified xsi:type="dcterms:W3CDTF">2026-07-30T12:07:30.223Z</dcterms:modified>
</cp:coreProperties>
</file>

<file path=docProps/custom.xml><?xml version="1.0" encoding="utf-8"?>
<Properties xmlns="http://schemas.openxmlformats.org/officeDocument/2006/custom-properties" xmlns:vt="http://schemas.openxmlformats.org/officeDocument/2006/docPropsVTypes"/>
</file>